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081"/>
        <w:gridCol w:w="864"/>
        <w:gridCol w:w="2410"/>
      </w:tblGrid>
      <w:tr w:rsidR="003051B0" w:rsidTr="003051B0">
        <w:tc>
          <w:tcPr>
            <w:tcW w:w="1986" w:type="dxa"/>
          </w:tcPr>
          <w:p w:rsidR="0058501F" w:rsidRPr="003051B0" w:rsidRDefault="0058501F" w:rsidP="0058501F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Emulsion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Fluide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Cleaning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emulsion</w:t>
            </w:r>
            <w:proofErr w:type="spellEnd"/>
          </w:p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81" w:type="dxa"/>
          </w:tcPr>
          <w:p w:rsidR="0058501F" w:rsidRPr="003051B0" w:rsidRDefault="00AF7272" w:rsidP="00CF1E3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Een </w:t>
            </w:r>
            <w:r w:rsidR="00CF1E33" w:rsidRPr="003051B0">
              <w:rPr>
                <w:rFonts w:ascii="Baskerville Old Face" w:hAnsi="Baskerville Old Face"/>
                <w:sz w:val="24"/>
                <w:szCs w:val="24"/>
              </w:rPr>
              <w:t xml:space="preserve">reinigende </w:t>
            </w:r>
            <w:proofErr w:type="spellStart"/>
            <w:r w:rsidR="00CF1E33" w:rsidRPr="003051B0">
              <w:rPr>
                <w:rFonts w:ascii="Baskerville Old Face" w:hAnsi="Baskerville Old Face"/>
                <w:sz w:val="24"/>
                <w:szCs w:val="24"/>
              </w:rPr>
              <w:t>milk</w:t>
            </w:r>
            <w:proofErr w:type="spellEnd"/>
            <w:r w:rsidR="00CF1E33" w:rsidRPr="003051B0">
              <w:rPr>
                <w:rFonts w:ascii="Baskerville Old Face" w:hAnsi="Baskerville Old Face"/>
                <w:sz w:val="24"/>
                <w:szCs w:val="24"/>
              </w:rPr>
              <w:t xml:space="preserve"> die op zachte wijze de huid vrij maakt van make-up, vuil en afvalstoffen. </w:t>
            </w:r>
          </w:p>
          <w:p w:rsidR="00CF1E33" w:rsidRPr="003051B0" w:rsidRDefault="00CF1E33" w:rsidP="00CF1E3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De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Emulsion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Fluide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direct op de huid aanbrengen en met natte washandjes, sponsjes of watjes verwijderen.</w:t>
            </w:r>
            <w:r w:rsidR="003051B0">
              <w:rPr>
                <w:rFonts w:ascii="Baskerville Old Face" w:hAnsi="Baskerville Old Face"/>
                <w:sz w:val="24"/>
                <w:szCs w:val="24"/>
              </w:rPr>
              <w:br/>
            </w:r>
            <w:r w:rsidR="003051B0">
              <w:rPr>
                <w:rFonts w:ascii="Baskerville Old Face" w:hAnsi="Baskerville Old Face"/>
                <w:sz w:val="24"/>
                <w:szCs w:val="24"/>
              </w:rPr>
              <w:br/>
            </w:r>
          </w:p>
        </w:tc>
        <w:tc>
          <w:tcPr>
            <w:tcW w:w="864" w:type="dxa"/>
          </w:tcPr>
          <w:p w:rsidR="0058501F" w:rsidRPr="003051B0" w:rsidRDefault="0058501F" w:rsidP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€34,95</w:t>
            </w:r>
          </w:p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01F" w:rsidRDefault="0058501F" w:rsidP="0058501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985F456" wp14:editId="22FB813A">
                  <wp:extent cx="1148080" cy="114808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ulsion fluid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1B0" w:rsidTr="003051B0">
        <w:tc>
          <w:tcPr>
            <w:tcW w:w="1986" w:type="dxa"/>
          </w:tcPr>
          <w:p w:rsidR="0058501F" w:rsidRPr="003051B0" w:rsidRDefault="0058501F" w:rsidP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Lotion Marine tonic lotion</w:t>
            </w:r>
          </w:p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81" w:type="dxa"/>
          </w:tcPr>
          <w:p w:rsidR="0058501F" w:rsidRPr="003051B0" w:rsidRDefault="00CF1E3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Samen met de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Emulsion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fluide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is de Lotion</w:t>
            </w:r>
            <w:r w:rsidR="00AF7272" w:rsidRPr="003051B0">
              <w:rPr>
                <w:rFonts w:ascii="Baskerville Old Face" w:hAnsi="Baskerville Old Face"/>
                <w:sz w:val="24"/>
                <w:szCs w:val="24"/>
              </w:rPr>
              <w:t xml:space="preserve"> Marine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een perfect reinigend cleaning duo. De </w:t>
            </w:r>
            <w:r w:rsidR="00AF7272" w:rsidRPr="003051B0">
              <w:rPr>
                <w:rFonts w:ascii="Baskerville Old Face" w:hAnsi="Baskerville Old Face"/>
                <w:sz w:val="24"/>
                <w:szCs w:val="24"/>
              </w:rPr>
              <w:t xml:space="preserve">tonic 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lotion sluit de reiniging af. Hierna is de huid stralend schoon en fris en bereid om de werkstoffen uit de verzorgende crème op te nemen. </w:t>
            </w:r>
          </w:p>
          <w:p w:rsidR="00CF1E33" w:rsidRPr="003051B0" w:rsidRDefault="00CF1E3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Breng de Lotion Marine aan op een watje en reinig hiermee het gezicht. </w:t>
            </w:r>
            <w:r w:rsidR="003051B0">
              <w:rPr>
                <w:rFonts w:ascii="Baskerville Old Face" w:hAnsi="Baskerville Old Face"/>
                <w:sz w:val="24"/>
                <w:szCs w:val="24"/>
              </w:rPr>
              <w:br/>
            </w:r>
          </w:p>
        </w:tc>
        <w:tc>
          <w:tcPr>
            <w:tcW w:w="864" w:type="dxa"/>
          </w:tcPr>
          <w:p w:rsidR="0058501F" w:rsidRPr="003051B0" w:rsidRDefault="0058501F" w:rsidP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€34,95</w:t>
            </w:r>
          </w:p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01F" w:rsidRDefault="0058501F" w:rsidP="0058501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91A408" wp14:editId="5C4E98BA">
                  <wp:extent cx="374473" cy="1363980"/>
                  <wp:effectExtent l="0" t="0" r="6985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lac lotion 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38" cy="136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1B0" w:rsidTr="003051B0">
        <w:trPr>
          <w:trHeight w:val="2387"/>
        </w:trPr>
        <w:tc>
          <w:tcPr>
            <w:tcW w:w="1986" w:type="dxa"/>
          </w:tcPr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Gel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Nettoyant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Purifiant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cleansing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facial gel</w:t>
            </w:r>
          </w:p>
        </w:tc>
        <w:tc>
          <w:tcPr>
            <w:tcW w:w="6081" w:type="dxa"/>
          </w:tcPr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Een intensieve reinigende en schuimende gel die de huid intensief reinigt en helder fris maakt.</w:t>
            </w:r>
            <w:r w:rsidR="00CF1E33" w:rsidRPr="003051B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>Geeft een heerlijk fris gevoel</w:t>
            </w:r>
            <w:r w:rsidR="00CF1E33" w:rsidRPr="003051B0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="00925540">
              <w:rPr>
                <w:rFonts w:ascii="Baskerville Old Face" w:hAnsi="Baskerville Old Face"/>
                <w:sz w:val="24"/>
                <w:szCs w:val="24"/>
              </w:rPr>
              <w:t xml:space="preserve"> De Gel </w:t>
            </w:r>
            <w:proofErr w:type="spellStart"/>
            <w:r w:rsidR="00925540">
              <w:rPr>
                <w:rFonts w:ascii="Baskerville Old Face" w:hAnsi="Baskerville Old Face"/>
                <w:sz w:val="24"/>
                <w:szCs w:val="24"/>
              </w:rPr>
              <w:t>Nettoyant</w:t>
            </w:r>
            <w:proofErr w:type="spellEnd"/>
            <w:r w:rsidR="00925540">
              <w:rPr>
                <w:rFonts w:ascii="Baskerville Old Face" w:hAnsi="Baskerville Old Face"/>
                <w:sz w:val="24"/>
                <w:szCs w:val="24"/>
              </w:rPr>
              <w:t xml:space="preserve"> wordt gebruikt in plaats van het </w:t>
            </w:r>
            <w:proofErr w:type="spellStart"/>
            <w:r w:rsidR="00925540">
              <w:rPr>
                <w:rFonts w:ascii="Baskerville Old Face" w:hAnsi="Baskerville Old Face"/>
                <w:sz w:val="24"/>
                <w:szCs w:val="24"/>
              </w:rPr>
              <w:t>Emulsion</w:t>
            </w:r>
            <w:proofErr w:type="spellEnd"/>
            <w:r w:rsidR="0092554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="00925540">
              <w:rPr>
                <w:rFonts w:ascii="Baskerville Old Face" w:hAnsi="Baskerville Old Face"/>
                <w:sz w:val="24"/>
                <w:szCs w:val="24"/>
              </w:rPr>
              <w:t>Fluide</w:t>
            </w:r>
            <w:proofErr w:type="spellEnd"/>
            <w:r w:rsidR="00925540">
              <w:rPr>
                <w:rFonts w:ascii="Baskerville Old Face" w:hAnsi="Baskerville Old Face"/>
                <w:sz w:val="24"/>
                <w:szCs w:val="24"/>
              </w:rPr>
              <w:t xml:space="preserve"> &amp; Lotion Marine cleaning duo.</w:t>
            </w:r>
          </w:p>
          <w:p w:rsidR="00CF1E33" w:rsidRPr="003051B0" w:rsidRDefault="00AF72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De Gel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N</w:t>
            </w:r>
            <w:r w:rsidR="00CF1E33" w:rsidRPr="003051B0">
              <w:rPr>
                <w:rFonts w:ascii="Baskerville Old Face" w:hAnsi="Baskerville Old Face"/>
                <w:sz w:val="24"/>
                <w:szCs w:val="24"/>
              </w:rPr>
              <w:t>ettoyant</w:t>
            </w:r>
            <w:proofErr w:type="spellEnd"/>
            <w:r w:rsidR="00CF1E33" w:rsidRPr="003051B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direct op het gezicht opbrengen en </w:t>
            </w:r>
            <w:r w:rsidR="00CF1E33" w:rsidRPr="003051B0">
              <w:rPr>
                <w:rFonts w:ascii="Baskerville Old Face" w:hAnsi="Baskerville Old Face"/>
                <w:sz w:val="24"/>
                <w:szCs w:val="24"/>
              </w:rPr>
              <w:t>met water opschuimen. Daarna afnemen met washandjes of sponsjes.</w:t>
            </w:r>
          </w:p>
        </w:tc>
        <w:tc>
          <w:tcPr>
            <w:tcW w:w="864" w:type="dxa"/>
          </w:tcPr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€42,95</w:t>
            </w:r>
          </w:p>
        </w:tc>
        <w:tc>
          <w:tcPr>
            <w:tcW w:w="2410" w:type="dxa"/>
          </w:tcPr>
          <w:p w:rsidR="0058501F" w:rsidRDefault="00CF1E33" w:rsidP="00CF1E3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E52CF8C" wp14:editId="39F105FA">
                  <wp:extent cx="1236980" cy="1236980"/>
                  <wp:effectExtent l="0" t="0" r="7620" b="762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 nettoyan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01F" w:rsidRDefault="00CF1E33" w:rsidP="00CF1E33">
            <w:pPr>
              <w:jc w:val="center"/>
            </w:pPr>
            <w:r>
              <w:t xml:space="preserve">   </w:t>
            </w:r>
          </w:p>
        </w:tc>
      </w:tr>
      <w:tr w:rsidR="003051B0" w:rsidTr="003051B0">
        <w:tc>
          <w:tcPr>
            <w:tcW w:w="1986" w:type="dxa"/>
          </w:tcPr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PeelinGlycolic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Glycol peeling</w:t>
            </w:r>
          </w:p>
        </w:tc>
        <w:tc>
          <w:tcPr>
            <w:tcW w:w="6081" w:type="dxa"/>
          </w:tcPr>
          <w:p w:rsidR="00AF7272" w:rsidRPr="003051B0" w:rsidRDefault="00AF7272" w:rsidP="00AF72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V</w:t>
            </w:r>
            <w:r w:rsidR="0058501F" w:rsidRPr="003051B0">
              <w:rPr>
                <w:rFonts w:ascii="Baskerville Old Face" w:hAnsi="Baskerville Old Face"/>
                <w:sz w:val="24"/>
                <w:szCs w:val="24"/>
              </w:rPr>
              <w:t xml:space="preserve">erwijdert dode huid cellen en onzuiverheden, stimuleert 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de </w:t>
            </w:r>
            <w:r w:rsidR="0058501F" w:rsidRPr="003051B0">
              <w:rPr>
                <w:rFonts w:ascii="Baskerville Old Face" w:hAnsi="Baskerville Old Face"/>
                <w:sz w:val="24"/>
                <w:szCs w:val="24"/>
              </w:rPr>
              <w:t xml:space="preserve">vernieuwing van de huidcellen, verfijnt de structuur 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van de huid, verkleint poriën, </w:t>
            </w:r>
            <w:r w:rsidR="0058501F" w:rsidRPr="003051B0">
              <w:rPr>
                <w:rFonts w:ascii="Baskerville Old Face" w:hAnsi="Baskerville Old Face"/>
                <w:sz w:val="24"/>
                <w:szCs w:val="24"/>
              </w:rPr>
              <w:t xml:space="preserve">maakt lijntjes minder zichtbaar en herstelt de teint van de huid. Maakt de huid 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>zijde glad</w:t>
            </w:r>
            <w:r w:rsidR="0058501F" w:rsidRPr="003051B0">
              <w:rPr>
                <w:rFonts w:ascii="Baskerville Old Face" w:hAnsi="Baskerville Old Face"/>
                <w:sz w:val="24"/>
                <w:szCs w:val="24"/>
              </w:rPr>
              <w:t xml:space="preserve"> en stralend en brengt de glans terug. 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De huid is tevens schoner en kan werkstoffen uit crèmes en serums optimaal  op nemen.</w:t>
            </w:r>
          </w:p>
          <w:p w:rsidR="00AF7272" w:rsidRPr="003051B0" w:rsidRDefault="00AF72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Zorg dat de huid goed gereinigd is, dan de glycolpeeling opbrengen en in laten werken. Daarna afnemen met washandjes of sponsjes en je verzorgende crème opbrengen.</w:t>
            </w:r>
            <w:r w:rsidR="003051B0">
              <w:rPr>
                <w:rFonts w:ascii="Baskerville Old Face" w:hAnsi="Baskerville Old Face"/>
                <w:sz w:val="24"/>
                <w:szCs w:val="24"/>
              </w:rPr>
              <w:br/>
            </w:r>
          </w:p>
        </w:tc>
        <w:tc>
          <w:tcPr>
            <w:tcW w:w="864" w:type="dxa"/>
          </w:tcPr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€42,95</w:t>
            </w:r>
          </w:p>
        </w:tc>
        <w:tc>
          <w:tcPr>
            <w:tcW w:w="2410" w:type="dxa"/>
          </w:tcPr>
          <w:p w:rsidR="0058501F" w:rsidRDefault="00CF1E33" w:rsidP="00CF1E3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6F3198" wp14:editId="77CE8475">
                  <wp:extent cx="430103" cy="1643380"/>
                  <wp:effectExtent l="0" t="0" r="1905" b="762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elin glycoli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97" cy="164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1B0" w:rsidTr="003051B0">
        <w:tc>
          <w:tcPr>
            <w:tcW w:w="1986" w:type="dxa"/>
          </w:tcPr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Prodige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creme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</w:p>
        </w:tc>
        <w:tc>
          <w:tcPr>
            <w:tcW w:w="6081" w:type="dxa"/>
          </w:tcPr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Intensieve hydraterende werking. Voorko</w:t>
            </w:r>
            <w:r w:rsidR="00AF7272" w:rsidRPr="003051B0">
              <w:rPr>
                <w:rFonts w:ascii="Baskerville Old Face" w:hAnsi="Baskerville Old Face"/>
                <w:sz w:val="24"/>
                <w:szCs w:val="24"/>
              </w:rPr>
              <w:t xml:space="preserve">mt verlies van vocht door </w:t>
            </w:r>
            <w:proofErr w:type="spellStart"/>
            <w:r w:rsidR="00AF7272" w:rsidRPr="003051B0">
              <w:rPr>
                <w:rFonts w:ascii="Baskerville Old Face" w:hAnsi="Baskerville Old Face"/>
                <w:sz w:val="24"/>
                <w:szCs w:val="24"/>
              </w:rPr>
              <w:t>hyalur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>onzuur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die he</w:t>
            </w:r>
            <w:r w:rsidR="00AF7272" w:rsidRPr="003051B0">
              <w:rPr>
                <w:rFonts w:ascii="Baskerville Old Face" w:hAnsi="Baskerville Old Face"/>
                <w:sz w:val="24"/>
                <w:szCs w:val="24"/>
              </w:rPr>
              <w:t xml:space="preserve">t water in de weefsels bindt. 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>Zachte textuur. Beschermt,  Hydrateert en ontspant de huid. Verfijnt de poriën en voorkomt lijntjes en rimpeltjes.</w:t>
            </w:r>
            <w:r w:rsidR="003051B0">
              <w:rPr>
                <w:rFonts w:ascii="Baskerville Old Face" w:hAnsi="Baskerville Old Face"/>
                <w:sz w:val="24"/>
                <w:szCs w:val="24"/>
              </w:rPr>
              <w:br/>
            </w:r>
          </w:p>
        </w:tc>
        <w:tc>
          <w:tcPr>
            <w:tcW w:w="864" w:type="dxa"/>
          </w:tcPr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€55,00</w:t>
            </w:r>
          </w:p>
        </w:tc>
        <w:tc>
          <w:tcPr>
            <w:tcW w:w="2410" w:type="dxa"/>
          </w:tcPr>
          <w:p w:rsidR="0058501F" w:rsidRDefault="00CF1E33" w:rsidP="00CF1E3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82B590" wp14:editId="027C0CFD">
                  <wp:extent cx="900881" cy="66865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lac hydra prodige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49" cy="67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1B0" w:rsidTr="003051B0">
        <w:trPr>
          <w:trHeight w:val="3032"/>
        </w:trPr>
        <w:tc>
          <w:tcPr>
            <w:tcW w:w="1986" w:type="dxa"/>
          </w:tcPr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Calcium Anti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ageing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cream</w:t>
            </w:r>
          </w:p>
        </w:tc>
        <w:tc>
          <w:tcPr>
            <w:tcW w:w="6081" w:type="dxa"/>
          </w:tcPr>
          <w:p w:rsidR="00AF7272" w:rsidRPr="003051B0" w:rsidRDefault="0058501F" w:rsidP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Ideaal voor droge,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geirriteerde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of rijpere huid. Herstellende en herstructurerende werking.</w:t>
            </w:r>
            <w:r w:rsidR="00CF1E33" w:rsidRPr="003051B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Verstevigt de huid en maakt glad, rimpels en lijntjes vervagen. Vernieuwt huidcellen en zorgt voor de opbouw en versteviging van het ondersteunend netwerk van collagene en </w:t>
            </w:r>
            <w:proofErr w:type="spellStart"/>
            <w:r w:rsidRPr="003051B0">
              <w:rPr>
                <w:rFonts w:ascii="Baskerville Old Face" w:hAnsi="Baskerville Old Face"/>
                <w:sz w:val="24"/>
                <w:szCs w:val="24"/>
              </w:rPr>
              <w:t>elastine</w:t>
            </w:r>
            <w:proofErr w:type="spellEnd"/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 ve</w:t>
            </w:r>
            <w:r w:rsidR="00AF7272" w:rsidRPr="003051B0">
              <w:rPr>
                <w:rFonts w:ascii="Baskerville Old Face" w:hAnsi="Baskerville Old Face"/>
                <w:sz w:val="24"/>
                <w:szCs w:val="24"/>
              </w:rPr>
              <w:t xml:space="preserve">zels.  </w:t>
            </w:r>
          </w:p>
          <w:p w:rsidR="0058501F" w:rsidRPr="003051B0" w:rsidRDefault="0058501F" w:rsidP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 xml:space="preserve">Daardoor </w:t>
            </w:r>
            <w:r w:rsidR="00925540">
              <w:rPr>
                <w:rFonts w:ascii="Baskerville Old Face" w:hAnsi="Baskerville Old Face"/>
                <w:sz w:val="24"/>
                <w:szCs w:val="24"/>
              </w:rPr>
              <w:t xml:space="preserve">wordt de huid veerkrachtiger, </w:t>
            </w:r>
            <w:r w:rsidRPr="003051B0">
              <w:rPr>
                <w:rFonts w:ascii="Baskerville Old Face" w:hAnsi="Baskerville Old Face"/>
                <w:sz w:val="24"/>
                <w:szCs w:val="24"/>
              </w:rPr>
              <w:t>steviger en dichter</w:t>
            </w:r>
            <w:r w:rsidR="00925540">
              <w:rPr>
                <w:rFonts w:ascii="Baskerville Old Face" w:hAnsi="Baskerville Old Face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64" w:type="dxa"/>
          </w:tcPr>
          <w:p w:rsidR="0058501F" w:rsidRPr="003051B0" w:rsidRDefault="0058501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051B0">
              <w:rPr>
                <w:rFonts w:ascii="Baskerville Old Face" w:hAnsi="Baskerville Old Face"/>
                <w:sz w:val="24"/>
                <w:szCs w:val="24"/>
              </w:rPr>
              <w:t>€99,95</w:t>
            </w:r>
          </w:p>
        </w:tc>
        <w:tc>
          <w:tcPr>
            <w:tcW w:w="2410" w:type="dxa"/>
          </w:tcPr>
          <w:p w:rsidR="0058501F" w:rsidRDefault="00CF1E33" w:rsidP="00CF1E3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7565E5" wp14:editId="33D2E792">
                  <wp:extent cx="958544" cy="1363980"/>
                  <wp:effectExtent l="0" t="0" r="6985" b="762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ium Thala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81" cy="136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01F" w:rsidRDefault="0058501F"/>
    <w:sectPr w:rsidR="0058501F" w:rsidSect="00925540">
      <w:pgSz w:w="11900" w:h="16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1F"/>
    <w:rsid w:val="003051B0"/>
    <w:rsid w:val="0058501F"/>
    <w:rsid w:val="00775606"/>
    <w:rsid w:val="00925540"/>
    <w:rsid w:val="00AF7272"/>
    <w:rsid w:val="00CF1E33"/>
    <w:rsid w:val="00E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286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8501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5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5850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501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8501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5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5850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501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Elleny van Donzel</dc:creator>
  <cp:keywords/>
  <dc:description/>
  <cp:lastModifiedBy>Sanne Elleny van Donzel</cp:lastModifiedBy>
  <cp:revision>2</cp:revision>
  <dcterms:created xsi:type="dcterms:W3CDTF">2021-01-19T18:02:00Z</dcterms:created>
  <dcterms:modified xsi:type="dcterms:W3CDTF">2021-01-19T18:02:00Z</dcterms:modified>
</cp:coreProperties>
</file>